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26"/>
        <w:jc w:val="right"/>
        <w:rPr>
          <w:rFonts w:ascii="Tinos" w:hAnsi="Tinos"/>
        </w:rPr>
      </w:pPr>
      <w:r>
        <w:rPr>
          <w:rFonts w:ascii="Tinos" w:hAnsi="Tinos"/>
          <w:sz w:val="28"/>
          <w:szCs w:val="28"/>
        </w:rPr>
        <w:t>Утверждено приказом ГБУ КЦСОН</w:t>
      </w:r>
    </w:p>
    <w:p>
      <w:pPr>
        <w:pStyle w:val="Style15"/>
        <w:spacing w:lineRule="atLeast" w:line="100" w:before="0" w:after="26"/>
        <w:jc w:val="right"/>
        <w:rPr>
          <w:rFonts w:ascii="Tinos" w:hAnsi="Tinos"/>
          <w:sz w:val="33"/>
        </w:rPr>
      </w:pPr>
      <w:r>
        <w:rPr>
          <w:rFonts w:ascii="Tinos" w:hAnsi="Tinos"/>
          <w:sz w:val="28"/>
          <w:szCs w:val="28"/>
        </w:rPr>
        <w:t>Трубчевского района</w:t>
        <w:br/>
        <w:t>от «___» ________________ №____</w:t>
      </w:r>
    </w:p>
    <w:p>
      <w:pPr>
        <w:pStyle w:val="Normal"/>
        <w:jc w:val="center"/>
        <w:rPr>
          <w:rFonts w:ascii="Tinos" w:hAnsi="Tinos"/>
          <w:b/>
          <w:b/>
          <w:bCs/>
          <w:sz w:val="33"/>
        </w:rPr>
      </w:pPr>
      <w:r>
        <w:rPr>
          <w:rFonts w:ascii="Tinos" w:hAnsi="Tinos"/>
          <w:b/>
          <w:bCs/>
          <w:sz w:val="33"/>
        </w:rPr>
      </w:r>
    </w:p>
    <w:p>
      <w:pPr>
        <w:pStyle w:val="Normal"/>
        <w:jc w:val="center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Положение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/>
          <w:bCs/>
          <w:sz w:val="28"/>
          <w:szCs w:val="28"/>
          <w:lang w:eastAsia="ru-RU"/>
        </w:rPr>
        <w:t xml:space="preserve">о порядке и условиях предоставления услуг с использованием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/>
          <w:bCs/>
          <w:sz w:val="28"/>
          <w:szCs w:val="28"/>
          <w:lang w:eastAsia="ru-RU"/>
        </w:rPr>
        <w:t>инновационной технологии «Школа ухода за пожилыми людьми и инвалидами» в государственном бюджетном учреждении Брянской области «Комплексный центр социального обслуживания населения Трубчевского  района»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 Описание: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</w:t>
      </w:r>
      <w:r>
        <w:rPr>
          <w:rFonts w:ascii="Tinos" w:hAnsi="Tinos"/>
          <w:sz w:val="28"/>
          <w:szCs w:val="28"/>
        </w:rPr>
        <w:t xml:space="preserve">В последнее время в нашей стране активно развивается система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долговременного ухода за гражданами пожилого возраста и инвалидами, включающая в себя и работу по поддержке семейного ухода за тяжелобольными гражданами. Такие люди, как правило, нуждаются в медицинской помощи и интенсивном уходе. Для организации эффективного целенаправленного домашнего ухода за такими гражданами нужно помнить о потребностях тяжелобольных, о тяжести их состояния и учитывать степень его зависимости от окружающих людей. Не редко заботу берут на себя родственники, соседи, знакомые и друзья, не всегда владеющие знаниями о тех элементарных способах ухода, которые необходимо выполнять для поддержания здоровья и профилактики возможных осложнений тяжелобольных. С целью содействия таким людям и учитывая необходимость введения инновационных форм работы на базе Государственного бюджетного учреждения Брянской области «Комплексный центр социального обслуживания населения Трубчевского района» создана Школа ухода за пожилыми людьми и инвалидами.</w:t>
      </w:r>
    </w:p>
    <w:p>
      <w:pPr>
        <w:pStyle w:val="Normal"/>
        <w:ind w:left="0" w:right="-170" w:hanging="0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1. Общие положения: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1.1 Настоящее Положение регулирует деятельность «Школы ухода за пожилыми людьми и инвалидами» (далее - Школа);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1.2 Школа организуется для проведения обучения населения, персонала учреждения, родственников и иных лиц, осуществляющих уход, проживающих на территории г. Трубчевска и Трубчевского района методам и формам ухода за пожилыми гражданами  и инвалидами в надомных условиях;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1.3 Школа осуществляет свою деятельность на основании настоящего Положения, тематических планов занятий, утвержденных директором Учреждения;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1.4 Обучение в Школе осуществляется на договорных началах (бесплатно) по личному заявлению (Приложение №1);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1.5 Деятельность Школы строится на принципах компетентности,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добровольности участия слушателей Школы, учета индивидуальных особенностей и возможностей слушателей.</w:t>
      </w:r>
    </w:p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2. Основные цели и задачи: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2.1Цели организации Школы: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достижение оптимально возможного уровня жизни и социальной адаптации инвалидов и пожилых людей, в привычной для него домашней обстановке в окружении семьи;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снижение риска возможности развития тяжелых осложнений;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-создание благоприятной обстановки и психологической атмосферы в семье, обеспечивающей снятие последствий психотравмирующих ситуаций, нервно - психической напряженности;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формирование личностных предпосылок для адаптации к изменяющимся условиям и мотивации на здоровье, побуждающих к активной жизни в социуме.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 Задачи Школы: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2.2.1 Ознакомление родственников, социальных работников и других лиц, осуществляющих уход с основами геронтологии и специфическими проблемами здоровья граждан пожилого возраста;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2.2.2 0бучение родственников, социальных работников и других лиц уходу за инвалидами и гражданами пожилого возраста на дому: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методам контроля над изменениями состояния здоровья инвалида, пожилого человека;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навыкам медицинских манипуляций;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профилактике осложнений;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личной гигиене и биомеханике тела;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правилам питания и кормления;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профилактике пролежней;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методам дезинфекции.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2.2.3 0бучение инвалидов и граждан пожилого возраста практическим навыкам и методам самопомощи, пользованию техническими средствами реабилитации и вспомогательными средствами.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2.2.4 Организация и проведение лекций, тренингов, мастер - классов и консультаций, семинаров - практикумов (далее - Занятия).</w:t>
      </w:r>
    </w:p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3. Ожидаемые результаты: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 Повышение качества жизни инвалидов и пожилых людей;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 Осуществление родственниками, социальными работниками грамотного социально - адаптационного ухода в привычных для инвалида и пожилого человека условиях, снижение количества пожилых людей с осложнениями и тяжелыми формами хронических заболеваний;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 Создание благоприятной психоэмоциональной атмосферы в семье, обеспечение достойного, уважительного отношения к инвалидам и пожилым людям</w:t>
      </w:r>
    </w:p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4.Порядок работы Школы: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 Школа ухода занимается организацией лиц из числа сотрудников учреждения: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директор Учреждения;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специалисты по социальной работе;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заведующие отделения социального обслуживания на дому;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медицинские работники;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привлечение специалистов других служб;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4.2 Директор Учреждения: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осуществляет руководство Школой;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- утверждает приказом план обучения, расписание занятий, список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сформированной группы граждан, проходящих обучение в Школе ухода;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взаимодействует и привлекает для работы в Школе ухода специалистов ЦРБ;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-осуществляет взаимодействие со СМИ по освещению деятельности Школы;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осуществляет контроль над работой Школы.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4.3 Директор Учреждения определяет ответственного сотрудника по организации работы Школы.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4.4 Ответственный сотрудник: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выявляет нуждающихся в обучении в Школе;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формирует группы обучающихся из числа социальных работников и родственников инвалидов и пожилых людей;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разрабатывает расписание занятий и составляет тематический план Занятий;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ведет учетно-отчетную документацию: журнал проведения Занятий по обучению социальных работников и родственников инвалидов и пожилых людей. (Приложение№1)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4.5 Обучение родственников инвалидов, пожилых людей, социальных работников навыкам общего ухода проводится посредством проведения Занятий.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4.6 Непосредственную работу по обучению проводят специалисты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Учреждения в период рабочего времени.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4.7 Занятия в школе могут проводить и другие специалисты различных служб.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4.8 Специалисты, приглашенные для проведения Занятий в ходе обучения в Школе, осуществляют его на безвозмездной основе.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4.9 Школа работает в соответствии с утвержденным планом обучения (Приложение №2) и режимом работы Учреждения, кроме выходных и праздничных дней.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4.10 Обучение в Школе предусматривает как групповые (5-8 человек), так и индивидуальные занятия.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4.11 Индивидуальные занятия проводятся с родственниками,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осуществляющими уход, по выборочным направлениям из тематического плана Школы.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4.12 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4.14 Обучение социальных работников, инвалидов, родственников лиц с ограниченными возможностями здоровья, добровольцев и других лиц, осуществляющих уход за инвалидами, гражданами пожилого возраста на дому проводится в соответствии с утвержденной директором Центра программой Школы ухода и согласованной с главным врачом ЦРБ. (Приложение№2)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4.14 Курс обучения в Школе - 5дней. Периодичность занятий -1 раз неделю. Продолжительность занятий - 1час.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4.15 Занятия Школы проходят в здании Центра по адресу г. Трубчевск, ул. Володарского, 12А.</w:t>
      </w:r>
    </w:p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5. Категории граждан, имеющих право на обучение в Школе: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5.1 К категориям граждан, имеющим право на обучение в Школе, относятся: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родственники граждан пожилого возраста и инвалидов, полностью утративших способность к самообслуживанию и передвижению в связи с преклонным возрастом или болезнью;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социальные работники отделений социального обслуживания на дому Учреждения;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пожилые граждане и инвалиды, нуждающиеся в реабилитации.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5.2 Правом внеочередного предоставления услуг на обучение в Школе пользуются родственники ветеранов и участников Великой отечественной войны.</w:t>
      </w:r>
    </w:p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6. Порядок и условия обучения в Школе: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6.1 Обучение в школе является бесплатным.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6.2 Для обучения в Школе родственникам, осуществляющим уход за пожилыми гражданами и инвалидами, необходимо предоставить заявление на имя директора Учреждения.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Приложение №1 </w:t>
      </w:r>
    </w:p>
    <w:p>
      <w:pPr>
        <w:pStyle w:val="Normal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 положению о школе ухода</w:t>
      </w:r>
    </w:p>
    <w:p>
      <w:pPr>
        <w:pStyle w:val="Normal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Утверждено приказом ГБУ КЦСОН</w:t>
      </w:r>
    </w:p>
    <w:p>
      <w:pPr>
        <w:pStyle w:val="Normal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Трубчевского района </w:t>
      </w:r>
    </w:p>
    <w:p>
      <w:pPr>
        <w:pStyle w:val="Normal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от _______________________№____</w:t>
      </w:r>
    </w:p>
    <w:p>
      <w:pPr>
        <w:pStyle w:val="Normal"/>
        <w:jc w:val="right"/>
        <w:rPr>
          <w:rFonts w:ascii="Tinos" w:hAnsi="Tinos"/>
          <w:sz w:val="30"/>
        </w:rPr>
      </w:pPr>
      <w:r>
        <w:rPr>
          <w:rFonts w:ascii="Tinos" w:hAnsi="Tinos"/>
          <w:sz w:val="30"/>
        </w:rPr>
      </w:r>
    </w:p>
    <w:p>
      <w:pPr>
        <w:pStyle w:val="Normal"/>
        <w:jc w:val="center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Программа «Школы ухода».</w:t>
      </w:r>
    </w:p>
    <w:p>
      <w:pPr>
        <w:pStyle w:val="Normal"/>
        <w:jc w:val="center"/>
        <w:rPr>
          <w:rFonts w:ascii="sans-serif" w:hAnsi="sans-serif"/>
          <w:b/>
          <w:b/>
          <w:bCs/>
          <w:sz w:val="32"/>
          <w:szCs w:val="32"/>
        </w:rPr>
      </w:pPr>
      <w:r>
        <w:rPr>
          <w:rFonts w:ascii="sans-serif" w:hAnsi="sans-serif"/>
          <w:b/>
          <w:bCs/>
          <w:sz w:val="32"/>
          <w:szCs w:val="32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 Процесс старения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 Наиболее характерные заболевания у лиц пожилого возраста,        особенности их течения.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 Общий уход за пожилыми людьми. Рекомендации по уходу за пожилыми людьми, страдающие хроническими заболеванием.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Гипертония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Сахарный диабет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Артроз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Артрит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 Кормление лежачего больного.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 Пересаживание больного с кровати на прикроватный стул, либо кресло каталку.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6. Уход за неподвижными больными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Приготовление постели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Подача судна, мочеприемника больному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-Обработка кожи больных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-Смена постельного белья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-Смена постельного белья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-Смена нательного белья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-Замена памперса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7. Профилактика пролежней, особенности ухода за лежачими больными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8. Простейшие манипуляции в домашних условиях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-Измерение артериального давления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-Измерение температуры тела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-Постановка местного согревающего компресса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-Определение пульса на лучевой артерии и его характеристика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9.Элементы ухода при нарушении процессов дыхания и кровообращения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10. Оказание неотложной помощи при приступе бронхиальной астмы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11.Оказание неотложной помощи при гипертоническом кризе и подозрении на острое нарушение мозгового кровообращения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12. Оказание неотложной помощи при приступе острой сердечной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недостаточности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13. Оказание неотложной помощи при обмороке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14. Остановка кровотечения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15. Простейшая физиотерапия: ингаляции, компрессы, горчичники, ножные ванны. Приготовление грелки, применения пузыря со льдом.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16. Зачетное занятие.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nos" w:hAnsi="Tinos"/>
          <w:sz w:val="28"/>
          <w:szCs w:val="28"/>
        </w:rPr>
        <w:t>Соглашение</w:t>
      </w:r>
    </w:p>
    <w:p>
      <w:pPr>
        <w:pStyle w:val="Normal"/>
        <w:jc w:val="center"/>
        <w:rPr/>
      </w:pPr>
      <w:r>
        <w:rPr>
          <w:rFonts w:ascii="Tinos" w:hAnsi="Tinos"/>
          <w:sz w:val="28"/>
          <w:szCs w:val="28"/>
        </w:rPr>
        <w:t xml:space="preserve">о взаимодействия ГБУ КСОН Трубчевского района  </w:t>
      </w:r>
    </w:p>
    <w:p>
      <w:pPr>
        <w:pStyle w:val="Normal"/>
        <w:jc w:val="center"/>
        <w:rPr/>
      </w:pPr>
      <w:r>
        <w:rPr>
          <w:rFonts w:ascii="Tinos" w:hAnsi="Tinos"/>
          <w:sz w:val="28"/>
          <w:szCs w:val="28"/>
        </w:rPr>
        <w:t xml:space="preserve">и ГБУЗ «Трубчевская ЦРБ» в рамках реализации мероприятий </w:t>
      </w:r>
    </w:p>
    <w:p>
      <w:pPr>
        <w:pStyle w:val="Normal"/>
        <w:jc w:val="center"/>
        <w:rPr/>
      </w:pPr>
      <w:r>
        <w:rPr>
          <w:rFonts w:ascii="Tinos" w:hAnsi="Tinos"/>
          <w:sz w:val="28"/>
          <w:szCs w:val="28"/>
        </w:rPr>
        <w:t>по  инновационной технологии «Школа ухода»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«_____»_______________г.                                                               г. Трубчевск</w:t>
      </w:r>
    </w:p>
    <w:p>
      <w:pPr>
        <w:pStyle w:val="Normal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1.Общие положения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  <w:szCs w:val="28"/>
        </w:rPr>
        <w:t xml:space="preserve">   </w:t>
      </w:r>
      <w:r>
        <w:rPr>
          <w:rFonts w:ascii="Tinos" w:hAnsi="Tinos"/>
          <w:sz w:val="28"/>
          <w:szCs w:val="28"/>
        </w:rPr>
        <w:t xml:space="preserve">Соглашение о  взаимодействии Государственного бюджетного учреждения Брянской области «Комплексный центр социального обслуживания населения Трубчевского района» (далее -Центр) и </w:t>
      </w:r>
      <w:r>
        <w:rPr>
          <w:rFonts w:ascii="Tinos" w:hAnsi="Tinos"/>
          <w:color w:val="000000"/>
          <w:sz w:val="28"/>
          <w:szCs w:val="28"/>
          <w:u w:val="none"/>
        </w:rPr>
        <w:t xml:space="preserve">Государственное бюджетное учреждение здравоохранения "Трубчевская Центральная районная больница" (далее  -ЦРБ) </w:t>
      </w:r>
      <w:r>
        <w:rPr>
          <w:rFonts w:ascii="Tinos" w:hAnsi="Tinos"/>
          <w:sz w:val="28"/>
          <w:szCs w:val="28"/>
        </w:rPr>
        <w:t xml:space="preserve"> в рамках реализации мероприятий по организации Школы обучения навыкам общего ухода за пожилыми людьми и инвалидами (далее – «Школа ухода») (далее –Соглашение) направлен на повышение качества услуг в сфере здравоохранения и социальной защиты инвалидов, лиц пожилого возраста, нуждающихся в медико-социальном уходе.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</w:t>
      </w:r>
      <w:r>
        <w:rPr>
          <w:rFonts w:ascii="Tinos" w:hAnsi="Tinos"/>
          <w:sz w:val="28"/>
          <w:szCs w:val="28"/>
        </w:rPr>
        <w:t xml:space="preserve">Соглашение определяет порядок и организацию взаимодействия Центра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 ЦРБ.</w:t>
      </w:r>
    </w:p>
    <w:p>
      <w:pPr>
        <w:pStyle w:val="Normal"/>
        <w:pageBreakBefore w:val="false"/>
        <w:ind w:left="0" w:right="-113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При осуществлении взаимодействия в рамках Соглашения участники взаимодействия руководствуются действующим законодательством, Конституцией Российской Федерации, нормативными правовыми актами Министерства здравоохранения и социального развития Российской Федерации, а также приказами главного врача ЦРБ и директора Центра.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2.Направления взаимодействия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Взаимодействие в рамках Соглашения осуществляется по следующим основным направлениям: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2.2.1.планирование, координация и проведение совместных мероприятий, направленных на реализацию полномочий участников взаимодействия;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2.2.2.обмен информацией, представляющих взаимный интерес, в целях обеспечения и повышения эффективности реализуемых полномочий.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 Порядок взаимодействия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 ЦРБ: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3.1.1. организует и проводит мониторинг количества инвалидов, лиц пожилого возраста, родственников лиц с ограниченными возможностями, нуждающихся в медико-социальном уходе и обучении на базе Центра;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3.1.2. предоставляет в Центр списки инвалидов, лиц пожилого возраста, родственников лиц с ограниченными возможностями, нуждающихся в медико-социальном уходе и обучении в Центре;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3.1.3. согласовывает тематические учебные планы и графики занятий по обучению социальных работников,  инвалидов, родственников лиц с о граниченными возможностями на базе Центра;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3.1.4. в соответствии с темами и графиками занятий специалисты ЦРБ принимают участие в обучении.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 Центр: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3.2.1. разрабатывает тематические учебные планы занятий по обучению социальных работников, инвалидов, родственников лиц с ограниченными возможностями;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3.2.2. составляет графики обучения социальных работников, инвалидов, родственников лиц с ограниченными возможностями на базе комнат социально-бытовой адаптации;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3.2.3. организует обучение социальных работников, инвалидов, родственников лиц с ограниченными возможностями на базе Центра в соответствии с утвержденными графиками;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3.2.4. проведение специалистами Центра оценки потребности у граждан пожилого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возраста и инвалидов в надомном обслуживании и в обучении навыкам общего ухода;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3.2.5. проведение специалистами Центра консультации на базе лечебно-профилактического учреждения;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3.2.6. создание и ведение базы данных прошедших курсы обучения в «Школе ухода»;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3.2.8. подготовка материала содержащего информацию для населения об организации «Школ ухода»;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3.2.9. информирование населения через СМИ о предоставлении услуг по обучению инвалидов, родственников и др. лиц навыкам общего ухода за пожилыми гражданами и инвалидами.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ascii="Tinos" w:hAnsi="Tinos"/>
          <w:b w:val="false"/>
          <w:b w:val="false"/>
          <w:bCs w:val="false"/>
        </w:rPr>
      </w:pPr>
      <w:r>
        <w:rPr>
          <w:rFonts w:eastAsia="SimSun" w:cs="Times New Roman" w:ascii="Tinos" w:hAnsi="Tinos"/>
          <w:b w:val="false"/>
          <w:bCs w:val="false"/>
          <w:sz w:val="28"/>
          <w:szCs w:val="28"/>
          <w:lang w:val="ru-RU" w:eastAsia="ru-RU" w:bidi="ar-SA"/>
        </w:rPr>
        <w:t>4.Ответственность сторон</w:t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eastAsia="SimSun" w:cs="Times New Roman"/>
          <w:sz w:val="28"/>
          <w:szCs w:val="28"/>
          <w:lang w:val="ru-RU" w:eastAsia="ru-RU" w:bidi="ar-SA"/>
        </w:rPr>
      </w:pPr>
      <w:r>
        <w:rPr>
          <w:rFonts w:eastAsia="SimSun"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4.1.В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>
      <w:pPr>
        <w:pStyle w:val="Normal"/>
        <w:bidi w:val="0"/>
        <w:ind w:left="0" w:right="0" w:firstLine="709"/>
        <w:jc w:val="both"/>
        <w:rPr>
          <w:rFonts w:ascii="Tinos" w:hAnsi="Tinos" w:eastAsia="SimSun" w:cs="Times New Roman"/>
          <w:b w:val="false"/>
          <w:b w:val="false"/>
          <w:bCs w:val="false"/>
          <w:sz w:val="28"/>
          <w:szCs w:val="28"/>
          <w:lang w:val="ru-RU" w:eastAsia="ru-RU" w:bidi="ar-SA"/>
        </w:rPr>
      </w:pPr>
      <w:r>
        <w:rPr>
          <w:rFonts w:eastAsia="SimSun" w:cs="Times New Roman" w:ascii="Tinos" w:hAnsi="Tinos"/>
          <w:b w:val="false"/>
          <w:bCs w:val="false"/>
          <w:sz w:val="28"/>
          <w:szCs w:val="28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ascii="Tinos" w:hAnsi="Tinos"/>
          <w:b w:val="false"/>
          <w:b w:val="false"/>
          <w:bCs w:val="false"/>
        </w:rPr>
      </w:pPr>
      <w:r>
        <w:rPr>
          <w:rFonts w:eastAsia="SimSun" w:cs="Times New Roman" w:ascii="Tinos" w:hAnsi="Tinos"/>
          <w:b w:val="false"/>
          <w:bCs w:val="false"/>
          <w:sz w:val="28"/>
          <w:szCs w:val="28"/>
          <w:lang w:val="ru-RU" w:eastAsia="ru-RU" w:bidi="ar-SA"/>
        </w:rPr>
        <w:t>5.Срок действия соглашения</w:t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eastAsia="SimSun" w:cs="Times New Roman"/>
          <w:sz w:val="28"/>
          <w:szCs w:val="28"/>
          <w:lang w:val="ru-RU" w:eastAsia="ru-RU" w:bidi="ar-SA"/>
        </w:rPr>
      </w:pPr>
      <w:r>
        <w:rPr>
          <w:rFonts w:eastAsia="SimSun" w:cs="Times New Roman"/>
          <w:sz w:val="28"/>
          <w:szCs w:val="28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5.1.Настоящее соглашение вступает в силу с момента его подписания сторонами и действует до 31 декабря 2020 года.</w:t>
      </w:r>
    </w:p>
    <w:p>
      <w:pPr>
        <w:pStyle w:val="Normal"/>
        <w:shd w:fill="FFFFFF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5.2.</w:t>
      </w:r>
      <w:r>
        <w:rPr>
          <w:rFonts w:eastAsia="SimSun" w:cs="Times New Roman" w:ascii="Tinos" w:hAnsi="Tinos"/>
          <w:color w:val="000000"/>
          <w:sz w:val="28"/>
          <w:szCs w:val="28"/>
          <w:lang w:val="ru-RU" w:eastAsia="ru-RU" w:bidi="ar-SA"/>
        </w:rPr>
        <w:t>Настоящее соглашение может быть досрочно расторгнуто по инициативе одной из сторон, которая должна письменно уведомить о своем намерении другие стороны за 10 дней до даты расторжения соглашения.</w:t>
      </w:r>
    </w:p>
    <w:p>
      <w:pPr>
        <w:pStyle w:val="Normal"/>
        <w:shd w:fill="FFFFFF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5.3.Если за один месяц до истечения срока действия соглашения ни одна из сторон не потребует прекращения его действия, соглашение признается продленным на прежних условиях на следующий год.</w:t>
      </w:r>
    </w:p>
    <w:p>
      <w:pPr>
        <w:pStyle w:val="Normal"/>
        <w:bidi w:val="0"/>
        <w:ind w:left="0" w:right="0" w:firstLine="709"/>
        <w:jc w:val="both"/>
        <w:rPr>
          <w:rFonts w:ascii="Tinos" w:hAnsi="Tinos" w:eastAsia="SimSun" w:cs="Times New Roman"/>
          <w:sz w:val="28"/>
          <w:szCs w:val="28"/>
          <w:lang w:val="ru-RU" w:eastAsia="ru-RU" w:bidi="ar-SA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ascii="Tinos" w:hAnsi="Tinos"/>
          <w:b w:val="false"/>
          <w:b w:val="false"/>
          <w:bCs w:val="false"/>
        </w:rPr>
      </w:pPr>
      <w:r>
        <w:rPr>
          <w:rFonts w:eastAsia="SimSun" w:cs="Times New Roman" w:ascii="Tinos" w:hAnsi="Tinos"/>
          <w:b w:val="false"/>
          <w:bCs w:val="false"/>
          <w:sz w:val="28"/>
          <w:szCs w:val="28"/>
          <w:lang w:val="ru-RU" w:eastAsia="ru-RU" w:bidi="ar-SA"/>
        </w:rPr>
        <w:t>6.Заключительные положения</w:t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0"/>
        <w:rPr>
          <w:rFonts w:eastAsia="SimSun" w:cs="Times New Roman"/>
          <w:sz w:val="28"/>
          <w:szCs w:val="28"/>
          <w:lang w:val="ru-RU" w:eastAsia="ru-RU" w:bidi="ar-SA"/>
        </w:rPr>
      </w:pPr>
      <w:r>
        <w:rPr>
          <w:rFonts w:eastAsia="SimSun"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6.1.Изменение настоящего соглашения осуществляется в письменной форме в виде дополнений, которые являются его неотъемлемой частью.</w:t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6.2.Расторжение настоящего соглашения допускается по договорённости сторон или по решению суда по основаниям, предусмотренным законодательством Российской Федерации.</w:t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6.3.Споры между сторонами решаются путем переговоров или в судебном порядке в соответствии с законодательством Российской Федерации.</w:t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>6.4.Настоящее соглашение составлено в двух экземплярах, имеющих равную юридическую силу, по одному экземпляру для каждой из сторон.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2"/>
        <w:rPr>
          <w:rFonts w:ascii="Tinos" w:hAnsi="Tinos" w:eastAsia="SimSun" w:cs="Times New Roman"/>
          <w:b/>
          <w:b/>
          <w:bCs/>
          <w:sz w:val="28"/>
          <w:szCs w:val="28"/>
          <w:lang w:val="ru-RU" w:eastAsia="ru-RU" w:bidi="ar-SA"/>
        </w:rPr>
      </w:pPr>
      <w:r>
        <w:rPr>
          <w:rFonts w:eastAsia="SimSun" w:cs="Times New Roman" w:ascii="Tinos" w:hAnsi="Tinos"/>
          <w:b/>
          <w:bCs/>
          <w:sz w:val="28"/>
          <w:szCs w:val="28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2"/>
        <w:rPr>
          <w:rFonts w:eastAsia="SimSun" w:cs="Times New Roman"/>
          <w:sz w:val="28"/>
          <w:szCs w:val="28"/>
          <w:lang w:val="ru-RU" w:eastAsia="ru-RU" w:bidi="ar-SA"/>
        </w:rPr>
      </w:pPr>
      <w:r>
        <w:rPr>
          <w:rFonts w:eastAsia="SimSun" w:cs="Times New Roman"/>
          <w:sz w:val="28"/>
          <w:szCs w:val="28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bidi w:val="0"/>
        <w:ind w:left="-360" w:right="0" w:hanging="0"/>
        <w:jc w:val="center"/>
        <w:outlineLvl w:val="2"/>
        <w:rPr>
          <w:rFonts w:ascii="Tinos" w:hAnsi="Tinos"/>
          <w:b w:val="false"/>
          <w:b w:val="false"/>
          <w:bCs w:val="false"/>
        </w:rPr>
      </w:pPr>
      <w:r>
        <w:rPr>
          <w:rFonts w:eastAsia="SimSun" w:cs="Times New Roman" w:ascii="Tinos" w:hAnsi="Tinos"/>
          <w:b w:val="false"/>
          <w:bCs w:val="false"/>
          <w:sz w:val="28"/>
          <w:szCs w:val="28"/>
          <w:lang w:val="ru-RU" w:eastAsia="ru-RU" w:bidi="ar-SA"/>
        </w:rPr>
        <w:t>7.Подписи сторон</w:t>
      </w:r>
    </w:p>
    <w:p>
      <w:pPr>
        <w:pStyle w:val="ConsPlusCell"/>
        <w:widowControl/>
        <w:bidi w:val="0"/>
        <w:ind w:left="0" w:right="0" w:hanging="0"/>
        <w:rPr>
          <w:rFonts w:ascii="Tinos" w:hAnsi="Tinos"/>
        </w:rPr>
      </w:pPr>
      <w:r>
        <w:rPr>
          <w:rFonts w:eastAsia="SimSun" w:cs="Times New Roman" w:ascii="Tinos" w:hAnsi="Tinos"/>
          <w:sz w:val="28"/>
          <w:szCs w:val="28"/>
          <w:lang w:val="ru-RU" w:eastAsia="ru-RU" w:bidi="ar-SA"/>
        </w:rPr>
        <w:t xml:space="preserve">  </w:t>
      </w:r>
    </w:p>
    <w:p>
      <w:pPr>
        <w:pStyle w:val="Normal"/>
        <w:bidi w:val="0"/>
        <w:ind w:left="0" w:right="0" w:hanging="0"/>
        <w:jc w:val="both"/>
        <w:rPr>
          <w:rFonts w:eastAsia="SimSun" w:cs="Times New Roman"/>
          <w:sz w:val="24"/>
          <w:szCs w:val="24"/>
          <w:lang w:val="ru-RU" w:eastAsia="ru-RU" w:bidi="ar-SA"/>
        </w:rPr>
      </w:pPr>
      <w:r>
        <w:rPr>
          <w:rFonts w:eastAsia="SimSun" w:cs="Times New Roman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ГБУ КЦСОН Трубчевского                                 ГБУЗ «Трубчевская ЦРБ»       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района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Директор                  В.А.Дорохов                    Гл. врач                  В.Л.Дубинская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</w:rPr>
      </w:pPr>
      <w:r>
        <w:rPr>
          <w:rFonts w:eastAsia="SimSun" w:cs="Times New Roman" w:ascii="Tinos" w:hAnsi="Tinos"/>
          <w:sz w:val="24"/>
          <w:szCs w:val="24"/>
          <w:lang w:val="ru-RU" w:eastAsia="ru-RU" w:bidi="ar-SA"/>
        </w:rPr>
        <w:t xml:space="preserve">М.П. </w:t>
        <w:tab/>
        <w:tab/>
        <w:tab/>
        <w:tab/>
        <w:tab/>
        <w:t xml:space="preserve">                                    М.П.</w:t>
      </w:r>
    </w:p>
    <w:p>
      <w:pPr>
        <w:pStyle w:val="Normal"/>
        <w:bidi w:val="0"/>
        <w:ind w:left="0" w:right="0" w:hanging="0"/>
        <w:jc w:val="both"/>
        <w:rPr>
          <w:rFonts w:ascii="Tinos" w:hAnsi="Tinos" w:eastAsia="SimSun" w:cs="Times New Roman"/>
          <w:b/>
          <w:b/>
          <w:bCs/>
          <w:sz w:val="24"/>
          <w:szCs w:val="24"/>
          <w:lang w:val="ru-RU" w:eastAsia="ru-RU" w:bidi="ar-SA"/>
        </w:rPr>
      </w:pPr>
      <w:r>
        <w:rPr>
          <w:rFonts w:eastAsia="SimSun" w:cs="Times New Roman" w:ascii="Tinos" w:hAnsi="Tinos"/>
          <w:b/>
          <w:bCs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numPr>
          <w:ilvl w:val="5"/>
          <w:numId w:val="2"/>
        </w:num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Паспорт инновационной технологии </w:t>
      </w:r>
    </w:p>
    <w:p>
      <w:pPr>
        <w:pStyle w:val="6"/>
        <w:numPr>
          <w:ilvl w:val="5"/>
          <w:numId w:val="2"/>
        </w:numPr>
        <w:jc w:val="center"/>
        <w:rPr/>
      </w:pPr>
      <w:r>
        <w:rPr>
          <w:rFonts w:ascii="Tinos" w:hAnsi="Tinos"/>
          <w:sz w:val="28"/>
          <w:szCs w:val="28"/>
        </w:rPr>
        <w:t>«Школа ухода»</w:t>
      </w:r>
    </w:p>
    <w:tbl>
      <w:tblPr>
        <w:tblW w:w="10380" w:type="dxa"/>
        <w:jc w:val="left"/>
        <w:tblInd w:w="0" w:type="dxa"/>
        <w:tblCellMar>
          <w:top w:w="55" w:type="dxa"/>
          <w:left w:w="53" w:type="dxa"/>
          <w:bottom w:w="55" w:type="dxa"/>
          <w:right w:w="55" w:type="dxa"/>
        </w:tblCellMar>
      </w:tblPr>
      <w:tblGrid>
        <w:gridCol w:w="795"/>
        <w:gridCol w:w="2998"/>
        <w:gridCol w:w="6587"/>
      </w:tblGrid>
      <w:tr>
        <w:trPr>
          <w:trHeight w:val="390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Наименование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«Школа ухода»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работы с родственниками осуществляющих уход за маломобильными и немобильными пожилыми гражданами и инвалидами по программе «Школа ухода»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Направления инновационной деятельности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Улучшение социального положения, повышение качества жизни, создание условий для реабилитации маломобильных и немобильных пожилых граждан и инвалидов на дому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Государственное  бюджетное учреждение Брянской области «Комплексный центр социального обслуживания населения Трубчевского района»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Адрес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242221 Брянская обл., г. Трубчевск, ул. Володарского, 12А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6.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Телефон/факс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(848352)2-46-80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Сайт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кцсон10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trub.kcson@mail.ru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>Дорохов Владимир Алексеевич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Заведующий отделением социального обслуживания на дому граждан пожилого возраста и инвалидов Суконкина О.С.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Заведующие отделениями социального обслуживания на дому, социальные работники, медицинские работники ЦРБ 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12.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Родственники маломобильных и немобильных пожилых граждан и инвалидов, социальные работники, сиделки</w:t>
            </w:r>
          </w:p>
        </w:tc>
      </w:tr>
      <w:tr>
        <w:trPr>
          <w:trHeight w:val="2695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течение года.</w:t>
            </w:r>
          </w:p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Занятия включают в себя обучение социальных работников, сиделок, родственников маломобильных и немобильных граждан пожилого возраста и инвалидов, по программе. Курс обучения - 5дней. Периодичность занятий - 1 раз в неделю. Продолжительность занятий - 1час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Используемые ресурсы: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14.1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организационные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Разработка положения и  тематического плана инновации «Школа ухода», формирование групп обучающихся из числа родственников маломобильных и немобильных граждан пожилого возраста и инвалидов, расписание учебных занятий, закрепление лиц, ответственных за проведение занятий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14.2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кадровые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Заведующие отделениями социального обслуживания на дому, социальные работники, медицинские работники ЦРБ 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14.3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помещения для проведения занятий, демонстрационный и раздаточный материал, отражающие основное содержание занятий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14.4.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Без затрат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Цель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Обучение родственников правилам и способам ухода за маломобильными и немобильными гражданами пожилого возраста и инвалидами для улучшения самочувствия, восстановления или поддержания их способностей к бытовой деятельности, адаптации к изменившимся условиям проживания.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Задачи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Улучшение системы ухода на дому, мотивация на объединение работников центра и родственников;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создание единого оптимального отношения к больному у членов семьи;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развитие навыков бесконфликтного общения в семье;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позитивного отношения к жизни;</w:t>
            </w:r>
          </w:p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создание информационно-справочного материала по уходу в домашних условиях за маломобильными и немобильными гражданами пожилого возраста и инвалидами;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улучшение социального самочувствия граждан пожилого возраста в связи с проживанием в семье;</w:t>
            </w:r>
          </w:p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обеспечение маломобильных и немобильных граждан пожилого возраста и инвалидов необходимой поддержкой и уходом со стороны родственников.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17.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18.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Прогнозируемая результативность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Повышение качества жизни граждан, нуждающихся в уходе.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Создание благоприятной обстановки и психологической атмосферы в семье, где проживает больной человек.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Улучшение физического и психологического состояния здоровья больного человека.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Снижение потребности маломобильных и немобильных граждан пожилого возраста и инвалидов в услугах стационарных учреждений здравоохранения и социального обслуживания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19.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Индикаторы и показатели эффективности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Количество родственников маломобильных и немобильных граждан пожилого возраста и инвалидов, обученных правилам и способам ухода, к общему числу выявленных нуждающихся родственников.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Количество занятий, проведенных в «Школе ухода» по отношению к утвержденному количеству занятий согласно плана на данный период.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20.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Ежемесячная, ежеквартальная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21.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Актуальность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В перспективе прогнозируется рост величины нагрузки населения нетрудоспособного возраста на население трудоспособного возраста.</w:t>
            </w:r>
          </w:p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Такая тенденция предъявляет высокие требования к принятию согласованных стратегических решений на всех уровнях управления, направленных на защиту прав и интересов граждан пожилого возраста, охрану и укрепление здоровья, предоставление им широкого спектра социальных услуг и адресной помощи, способствующих их нормальной жизнедеятельности.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22.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Описание проекта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Планирование процесса обучения родственников маломобильных и немобильных граждан пожилого возраста и инвалидов по программе «Школа ухода» проводится с учетом индивидуального подхода к каждому обучаемому.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Для повышения качества жизни маломобильных и немобильных граждан пожилого возраста и инвалидов и создания им соответствующих условий для реабилитации, родственников обучают основным навыкам ухода с учетом характера его заболевания и индивидуальных особенностей согласно программе «Школа ухода».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Весь процесс обучения делится на 4 этапа.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I этап. Организационный: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банка данных семей, осуществляющих уход за маломобильными и немобильными гражданами пожилого возраста и инвалидами и желающих пройти обучение по программе «Школа ухода»;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групп обучающихся;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составление плана обучения.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II этап. Информационный: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 данном этапе ведется подготовка и изготовление информационно-справочного материала по организации ухода за маломобильными и немобильными гражданами пожилого возраста и инвалидами: памятки, буклеты, брошюры (советы родственникам по уходу за больными престарелыми людьми; уход за больными в терминальной стадии заболевания и т.д.).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III этап. Обучающий: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проведение обучения на базе Государственного бюджетного учреждения Брянской области «Комплексный центр социального обслуживания населения Трубчевского района»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Занятия проводят сотрудники Центра (заведующие отделениями социального обслуживания на дому,врачи);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процессе обучения в «Школе ухода» используются различные формы обучающих занятий: лекции, индивидуальные беседы, практикумы: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лекции для родственников, осуществляющих уход за маломобильными и немобильными гражданами пожилого возраста и инвалидами, по вопросам организации эффективного ухода на дому;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практические занятия (биомеханика тела, измерение жизненных показателей, выбор удобного положения тела больного и его перемещение, здоровое питание, выделение продуктов жизнедеятельности организма, обработка и профилактика пролежней, навыки медицинских манипуляций и др.);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психологический помощник (обучение элементам эффективного общения, методам предотвращения или коррекции депрессивных состояний, возникающих у родственников тяжелобольных людей);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обучение навыкам правильного пользования реабилитационной техникой;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обмен опытом;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IV этап. Аналитический: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анкетирование родственников маломобильных и немобильных граждан пожилого возраста и инвалидов, прошедших обучение, для выявления уровня удовлетворенности организацией обучающего процесса в «Школе ухода»;</w:t>
            </w:r>
          </w:p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определение результативности обучения.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23.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Достигнутая результативность проекта с указанием даты и способа мониторинга (отчет прилагается).</w:t>
            </w:r>
          </w:p>
        </w:tc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Результативность проекта будет оценена</w:t>
            </w:r>
          </w:p>
          <w:p>
            <w:pPr>
              <w:pStyle w:val="Style19"/>
              <w:spacing w:before="0" w:after="283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декабре 2020г.</w:t>
            </w:r>
          </w:p>
        </w:tc>
      </w:tr>
    </w:tbl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7" w:header="720" w:top="615" w:footer="720" w:bottom="6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nos">
    <w:charset w:val="cc"/>
    <w:family w:val="roman"/>
    <w:pitch w:val="variable"/>
  </w:font>
  <w:font w:name="sans-serif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Tahoma" w:cs="Noto Sans Devanagari"/>
      <w:b/>
      <w:bCs/>
      <w:sz w:val="36"/>
      <w:szCs w:val="36"/>
    </w:rPr>
  </w:style>
  <w:style w:type="paragraph" w:styleId="6">
    <w:name w:val="Heading 6"/>
    <w:basedOn w:val="Style14"/>
    <w:qFormat/>
    <w:pPr>
      <w:numPr>
        <w:ilvl w:val="5"/>
        <w:numId w:val="1"/>
      </w:numPr>
      <w:spacing w:before="60" w:after="60"/>
      <w:outlineLvl w:val="5"/>
    </w:pPr>
    <w:rPr>
      <w:rFonts w:ascii="Liberation Serif" w:hAnsi="Liberation Serif" w:eastAsia="Tahoma" w:cs="Noto Sans Devanagari"/>
      <w:b/>
      <w:bCs/>
      <w:sz w:val="14"/>
      <w:szCs w:val="1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Arial" w:hAnsi="Arial" w:eastAsia="SimSu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LibreOffice/6.2.0.3$Windows_x86 LibreOffice_project/98c6a8a1c6c7b144ce3cc729e34964b47ce25d62</Application>
  <Pages>18</Pages>
  <Words>2581</Words>
  <Characters>18828</Characters>
  <CharactersWithSpaces>21379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2019-11-28T08:59:02Z</dcterms:created>
  <dc:creator/>
  <dc:description/>
  <dc:language>ru-RU</dc:language>
  <cp:lastModifiedBy/>
  <cp:lastPrinted>2019-12-23T14:28:34Z</cp:lastPrinted>
  <dcterms:modified xsi:type="dcterms:W3CDTF">2019-12-23T14:29:44Z</dcterms:modified>
  <cp:revision>3</cp:revision>
  <dc:subject/>
  <dc:title/>
</cp:coreProperties>
</file>